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CEE4E">
      <w:pPr>
        <w:spacing w:after="0" w:line="240" w:lineRule="auto"/>
        <w:jc w:val="right"/>
        <w:rPr>
          <w:rFonts w:ascii="Times New Roman" w:hAnsi="Times New Roman"/>
          <w:sz w:val="28"/>
          <w:highlight w:val="white"/>
        </w:rPr>
      </w:pPr>
    </w:p>
    <w:p w14:paraId="0D3D07D2">
      <w:pPr>
        <w:spacing w:after="0" w:line="240" w:lineRule="auto"/>
        <w:jc w:val="right"/>
        <w:rPr>
          <w:rFonts w:ascii="Times New Roman" w:hAnsi="Times New Roman"/>
          <w:sz w:val="28"/>
          <w:highlight w:val="white"/>
        </w:rPr>
      </w:pPr>
      <w:bookmarkStart w:id="0" w:name="_GoBack"/>
      <w:bookmarkEnd w:id="0"/>
    </w:p>
    <w:p w14:paraId="6EB2C54A">
      <w:pPr>
        <w:spacing w:after="0" w:line="240" w:lineRule="auto"/>
        <w:jc w:val="both"/>
        <w:rPr>
          <w:rFonts w:ascii="Times New Roman" w:hAnsi="Times New Roman"/>
          <w:color w:val="202124"/>
          <w:sz w:val="28"/>
          <w:highlight w:val="white"/>
        </w:rPr>
      </w:pPr>
    </w:p>
    <w:p w14:paraId="74273094">
      <w:pPr>
        <w:spacing w:after="0" w:line="240" w:lineRule="auto"/>
        <w:jc w:val="both"/>
        <w:rPr>
          <w:rFonts w:ascii="Times New Roman" w:hAnsi="Times New Roman"/>
          <w:color w:val="202124"/>
          <w:sz w:val="28"/>
          <w:highlight w:val="white"/>
        </w:rPr>
      </w:pPr>
    </w:p>
    <w:p w14:paraId="43F0DB04">
      <w:pPr>
        <w:spacing w:after="0" w:line="240" w:lineRule="auto"/>
        <w:jc w:val="both"/>
        <w:rPr>
          <w:rFonts w:ascii="Times New Roman" w:hAnsi="Times New Roman"/>
          <w:color w:val="202124"/>
          <w:sz w:val="28"/>
          <w:highlight w:val="white"/>
        </w:rPr>
      </w:pPr>
    </w:p>
    <w:p w14:paraId="7DE75428">
      <w:pPr>
        <w:spacing w:after="0" w:line="240" w:lineRule="auto"/>
        <w:jc w:val="both"/>
        <w:rPr>
          <w:rFonts w:ascii="Times New Roman" w:hAnsi="Times New Roman"/>
          <w:color w:val="202124"/>
          <w:sz w:val="28"/>
          <w:highlight w:val="white"/>
        </w:rPr>
      </w:pPr>
    </w:p>
    <w:p w14:paraId="5C007CC9">
      <w:pPr>
        <w:spacing w:after="0" w:line="240" w:lineRule="auto"/>
        <w:jc w:val="both"/>
        <w:rPr>
          <w:rFonts w:ascii="Times New Roman" w:hAnsi="Times New Roman"/>
          <w:color w:val="202124"/>
          <w:sz w:val="28"/>
          <w:highlight w:val="white"/>
        </w:rPr>
      </w:pPr>
    </w:p>
    <w:p w14:paraId="15AFB6BD">
      <w:pPr>
        <w:spacing w:after="0" w:line="240" w:lineRule="auto"/>
        <w:jc w:val="both"/>
        <w:rPr>
          <w:rFonts w:ascii="Times New Roman" w:hAnsi="Times New Roman"/>
          <w:color w:val="202124"/>
          <w:sz w:val="28"/>
          <w:highlight w:val="white"/>
        </w:rPr>
      </w:pPr>
    </w:p>
    <w:p w14:paraId="12EBA143">
      <w:pPr>
        <w:spacing w:after="0" w:line="240" w:lineRule="auto"/>
        <w:jc w:val="both"/>
        <w:rPr>
          <w:rFonts w:ascii="Times New Roman" w:hAnsi="Times New Roman"/>
          <w:color w:val="202124"/>
          <w:sz w:val="28"/>
          <w:highlight w:val="white"/>
        </w:rPr>
      </w:pPr>
    </w:p>
    <w:p w14:paraId="584B2365">
      <w:pPr>
        <w:spacing w:after="0" w:line="240" w:lineRule="auto"/>
        <w:jc w:val="both"/>
        <w:rPr>
          <w:rFonts w:ascii="Times New Roman" w:hAnsi="Times New Roman"/>
          <w:color w:val="202124"/>
          <w:sz w:val="28"/>
          <w:highlight w:val="white"/>
        </w:rPr>
      </w:pPr>
    </w:p>
    <w:p w14:paraId="23B50E64">
      <w:pPr>
        <w:spacing w:after="0" w:line="240" w:lineRule="auto"/>
        <w:jc w:val="both"/>
        <w:rPr>
          <w:rFonts w:ascii="Times New Roman" w:hAnsi="Times New Roman"/>
          <w:color w:val="202124"/>
          <w:sz w:val="28"/>
          <w:highlight w:val="white"/>
        </w:rPr>
      </w:pPr>
    </w:p>
    <w:p w14:paraId="5FADE112">
      <w:pPr>
        <w:spacing w:after="0" w:line="240" w:lineRule="auto"/>
        <w:jc w:val="both"/>
        <w:rPr>
          <w:rFonts w:ascii="Times New Roman" w:hAnsi="Times New Roman"/>
          <w:color w:val="202124"/>
          <w:highlight w:val="white"/>
        </w:rPr>
      </w:pPr>
      <w:r>
        <w:rPr>
          <w:rFonts w:ascii="Times New Roman" w:hAnsi="Times New Roman"/>
          <w:color w:val="202124"/>
          <w:highlight w:val="white"/>
        </w:rPr>
        <w:t>Исх         /03 от 27.03.2025 г</w:t>
      </w:r>
    </w:p>
    <w:p w14:paraId="384FAEF9">
      <w:pPr>
        <w:spacing w:after="0" w:line="240" w:lineRule="auto"/>
        <w:jc w:val="both"/>
        <w:rPr>
          <w:rFonts w:ascii="Times New Roman" w:hAnsi="Times New Roman"/>
          <w:color w:val="202124"/>
          <w:highlight w:val="white"/>
        </w:rPr>
      </w:pPr>
    </w:p>
    <w:p w14:paraId="6F8C2705">
      <w:pPr>
        <w:spacing w:after="0" w:line="240" w:lineRule="auto"/>
        <w:jc w:val="both"/>
        <w:rPr>
          <w:rFonts w:ascii="Times New Roman" w:hAnsi="Times New Roman"/>
          <w:color w:val="202124"/>
          <w:highlight w:val="white"/>
        </w:rPr>
      </w:pPr>
    </w:p>
    <w:p w14:paraId="25D59D81">
      <w:pPr>
        <w:spacing w:after="0" w:line="240" w:lineRule="auto"/>
        <w:jc w:val="center"/>
        <w:rPr>
          <w:rFonts w:ascii="Times New Roman" w:hAnsi="Times New Roman"/>
          <w:b/>
          <w:color w:val="202124"/>
          <w:sz w:val="28"/>
          <w:highlight w:val="white"/>
        </w:rPr>
      </w:pPr>
      <w:r>
        <w:rPr>
          <w:rFonts w:ascii="Times New Roman" w:hAnsi="Times New Roman"/>
          <w:b/>
          <w:color w:val="202124"/>
          <w:sz w:val="28"/>
          <w:highlight w:val="white"/>
        </w:rPr>
        <w:t xml:space="preserve">Уважаемый </w:t>
      </w:r>
      <w:r>
        <w:rPr>
          <w:rFonts w:hint="default" w:ascii="Times New Roman" w:hAnsi="Times New Roman"/>
          <w:b/>
          <w:color w:val="202124"/>
          <w:sz w:val="28"/>
          <w:highlight w:val="white"/>
          <w:lang w:val="ru-RU"/>
        </w:rPr>
        <w:t xml:space="preserve">   </w:t>
      </w:r>
      <w:r>
        <w:rPr>
          <w:rFonts w:ascii="Times New Roman" w:hAnsi="Times New Roman"/>
          <w:b/>
          <w:color w:val="202124"/>
          <w:sz w:val="28"/>
          <w:highlight w:val="white"/>
        </w:rPr>
        <w:t>!</w:t>
      </w:r>
    </w:p>
    <w:p w14:paraId="45E70CC0">
      <w:pPr>
        <w:spacing w:after="0" w:line="240" w:lineRule="auto"/>
        <w:jc w:val="center"/>
        <w:rPr>
          <w:rFonts w:ascii="Times New Roman" w:hAnsi="Times New Roman"/>
          <w:b/>
          <w:color w:val="202124"/>
          <w:highlight w:val="white"/>
        </w:rPr>
      </w:pPr>
    </w:p>
    <w:p w14:paraId="625EE4BE">
      <w:pPr>
        <w:spacing w:after="0" w:line="240" w:lineRule="auto"/>
        <w:jc w:val="both"/>
        <w:rPr>
          <w:rFonts w:hint="default" w:ascii="Times New Roman" w:hAnsi="Times New Roman"/>
          <w:color w:val="202124"/>
          <w:highlight w:val="white"/>
          <w:lang w:val="ru-RU"/>
        </w:rPr>
      </w:pPr>
      <w:r>
        <w:rPr>
          <w:rFonts w:ascii="Times New Roman" w:hAnsi="Times New Roman"/>
          <w:color w:val="202124"/>
          <w:highlight w:val="white"/>
        </w:rPr>
        <w:t xml:space="preserve">          </w:t>
      </w:r>
      <w:r>
        <w:rPr>
          <w:rFonts w:ascii="Times New Roman" w:hAnsi="Times New Roman"/>
          <w:color w:val="202124"/>
          <w:highlight w:val="white"/>
          <w:lang w:val="ru-RU"/>
        </w:rPr>
        <w:t>Я</w:t>
      </w:r>
      <w:r>
        <w:rPr>
          <w:rFonts w:hint="default" w:ascii="Times New Roman" w:hAnsi="Times New Roman"/>
          <w:color w:val="202124"/>
          <w:highlight w:val="white"/>
          <w:lang w:val="ru-RU"/>
        </w:rPr>
        <w:t xml:space="preserve">,  Индивидуальный Предприниматель Макеенко Елена </w:t>
      </w:r>
      <w:r>
        <w:rPr>
          <w:rFonts w:ascii="Times New Roman" w:hAnsi="Times New Roman"/>
          <w:color w:val="202124"/>
          <w:highlight w:val="white"/>
        </w:rPr>
        <w:t xml:space="preserve"> </w:t>
      </w:r>
      <w:r>
        <w:rPr>
          <w:rFonts w:ascii="Times New Roman" w:hAnsi="Times New Roman"/>
          <w:color w:val="202124"/>
          <w:highlight w:val="white"/>
          <w:lang w:val="ru-RU"/>
        </w:rPr>
        <w:t>Леонидовна</w:t>
      </w:r>
      <w:r>
        <w:rPr>
          <w:rFonts w:hint="default" w:ascii="Times New Roman" w:hAnsi="Times New Roman"/>
          <w:color w:val="202124"/>
          <w:highlight w:val="white"/>
          <w:lang w:val="ru-RU"/>
        </w:rPr>
        <w:t>, представитель ТСЖ «Земляной Вал,д.23 стр.1 ,ТСН(ж)»Дом в сосновой роще».</w:t>
      </w:r>
    </w:p>
    <w:p w14:paraId="47D1B545">
      <w:pPr>
        <w:spacing w:after="0" w:line="240" w:lineRule="auto"/>
        <w:jc w:val="both"/>
        <w:rPr>
          <w:rFonts w:ascii="Times New Roman" w:hAnsi="Times New Roman"/>
          <w:color w:val="202124"/>
          <w:highlight w:val="white"/>
        </w:rPr>
      </w:pPr>
      <w:r>
        <w:rPr>
          <w:rFonts w:ascii="Times New Roman" w:hAnsi="Times New Roman"/>
          <w:color w:val="202124"/>
          <w:highlight w:val="white"/>
        </w:rPr>
        <w:t xml:space="preserve"> Обраща</w:t>
      </w:r>
      <w:r>
        <w:rPr>
          <w:rFonts w:ascii="Times New Roman" w:hAnsi="Times New Roman"/>
          <w:color w:val="202124"/>
          <w:highlight w:val="white"/>
          <w:lang w:val="ru-RU"/>
        </w:rPr>
        <w:t>юсь</w:t>
      </w:r>
      <w:r>
        <w:rPr>
          <w:rFonts w:ascii="Times New Roman" w:hAnsi="Times New Roman"/>
          <w:color w:val="202124"/>
          <w:highlight w:val="white"/>
        </w:rPr>
        <w:t xml:space="preserve"> к Вам </w:t>
      </w:r>
      <w:r>
        <w:rPr>
          <w:rFonts w:ascii="Times New Roman" w:hAnsi="Times New Roman"/>
          <w:color w:val="202124"/>
          <w:highlight w:val="white"/>
          <w:lang w:val="ru-RU"/>
        </w:rPr>
        <w:t>от</w:t>
      </w:r>
      <w:r>
        <w:rPr>
          <w:rFonts w:hint="default" w:ascii="Times New Roman" w:hAnsi="Times New Roman"/>
          <w:color w:val="202124"/>
          <w:highlight w:val="white"/>
          <w:lang w:val="ru-RU"/>
        </w:rPr>
        <w:t xml:space="preserve"> лица ТСЖ ,ТСН(ж)</w:t>
      </w:r>
      <w:r>
        <w:rPr>
          <w:rFonts w:ascii="Times New Roman" w:hAnsi="Times New Roman"/>
          <w:color w:val="202124"/>
          <w:highlight w:val="white"/>
        </w:rPr>
        <w:t xml:space="preserve">находящихся под управлением которых в многоквартирных домах проживает более </w:t>
      </w:r>
      <w:r>
        <w:rPr>
          <w:rFonts w:hint="default" w:ascii="Times New Roman" w:hAnsi="Times New Roman"/>
          <w:color w:val="FF0000"/>
          <w:highlight w:val="white"/>
          <w:lang w:val="ru-RU"/>
        </w:rPr>
        <w:t xml:space="preserve">450 </w:t>
      </w:r>
      <w:r>
        <w:rPr>
          <w:rFonts w:ascii="Times New Roman" w:hAnsi="Times New Roman"/>
          <w:color w:val="202124"/>
          <w:highlight w:val="white"/>
        </w:rPr>
        <w:t xml:space="preserve"> избирателей, москвичей.</w:t>
      </w:r>
    </w:p>
    <w:p w14:paraId="21DB889D">
      <w:pPr>
        <w:spacing w:after="0" w:line="240" w:lineRule="auto"/>
        <w:jc w:val="both"/>
        <w:rPr>
          <w:rFonts w:ascii="Times New Roman" w:hAnsi="Times New Roman"/>
        </w:rPr>
      </w:pPr>
      <w:r>
        <w:rPr>
          <w:rFonts w:ascii="Times New Roman" w:hAnsi="Times New Roman"/>
          <w:color w:val="202124"/>
          <w:highlight w:val="white"/>
        </w:rPr>
        <w:t xml:space="preserve">           </w:t>
      </w:r>
      <w:r>
        <w:rPr>
          <w:rFonts w:ascii="Times New Roman" w:hAnsi="Times New Roman"/>
        </w:rPr>
        <w:t xml:space="preserve">Постановление Правительства Москвы от 05.03.2025 г. N 414-ПП получило широкий резонанс в жилищных организациях города Москвы и вызвало серьезную обеспокоенность ограничением жилищных прав членов ТСЖ, ЖК, ЖСК, гарантированных федеральным законом. </w:t>
      </w:r>
    </w:p>
    <w:p w14:paraId="05A9DDAB">
      <w:pPr>
        <w:spacing w:after="0" w:line="240" w:lineRule="auto"/>
        <w:jc w:val="both"/>
        <w:rPr>
          <w:rFonts w:ascii="Times New Roman" w:hAnsi="Times New Roman"/>
          <w:color w:val="202124"/>
          <w:highlight w:val="white"/>
        </w:rPr>
      </w:pPr>
      <w:r>
        <w:rPr>
          <w:rFonts w:ascii="Times New Roman" w:hAnsi="Times New Roman"/>
        </w:rPr>
        <w:t xml:space="preserve">           Считаем, что указанное постановление ограничивает права собственников жилья в городе Москве на управление  многоквартирным домом, установленные Жилищным Кодексом Российской Федерации, Постановлениями Правительства Российской Федерации, по следующем основаниям: </w:t>
      </w:r>
    </w:p>
    <w:p w14:paraId="301AB8E6">
      <w:pPr>
        <w:spacing w:after="0" w:line="240" w:lineRule="auto"/>
        <w:jc w:val="both"/>
        <w:rPr>
          <w:rFonts w:ascii="Times New Roman" w:hAnsi="Times New Roman"/>
        </w:rPr>
      </w:pPr>
      <w:r>
        <w:rPr>
          <w:rFonts w:ascii="Times New Roman" w:hAnsi="Times New Roman"/>
        </w:rPr>
        <w:t xml:space="preserve">           Пунктами 1.1 и 1.2 Постановления Правительства Москвы от 05.03.2025 г. N 414-ПП «О внесении изменений в постановление Правительства Москвы от 24 апреля 2007 г. N 299-ПП» для лиц и индивидуальных предпринимателей, осуществляющих деятельность по управлению многоквартирным домом, в том числе товариществ собственников жилья, жилищных, жилищно-строительных кооперативов или иных специализированных потребительских кооперативов установлена обязанность начислять плату за жилищно-коммунальные и иные услуги посредством Автоматизированной системы управления «Информационное обеспечение деятельности ЕИРЦ» (АСУ ЕИРЦ), для чего указанные организации должны в срок не позднее 1 января 2026 г. заключить с ГБУ МФЦ города Москвы договора на выполнение функций по начислению платы за жилые помещения, коммунальные и иные услуги.</w:t>
      </w:r>
    </w:p>
    <w:p w14:paraId="635B547A">
      <w:pPr>
        <w:spacing w:after="0" w:line="240" w:lineRule="auto"/>
        <w:ind w:firstLine="709"/>
        <w:jc w:val="both"/>
        <w:rPr>
          <w:rFonts w:ascii="Times New Roman" w:hAnsi="Times New Roman"/>
        </w:rPr>
      </w:pPr>
      <w:r>
        <w:rPr>
          <w:rFonts w:ascii="Times New Roman" w:hAnsi="Times New Roman"/>
        </w:rPr>
        <w:t xml:space="preserve">Согласно части 6 статьи 5 Жилищного кодекса Российской Федерации (далее – ЖК РФ),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 </w:t>
      </w:r>
    </w:p>
    <w:p w14:paraId="542C0030">
      <w:pPr>
        <w:spacing w:after="0" w:line="240" w:lineRule="auto"/>
        <w:ind w:firstLine="709"/>
        <w:jc w:val="both"/>
        <w:rPr>
          <w:rFonts w:ascii="Times New Roman" w:hAnsi="Times New Roman"/>
        </w:rPr>
      </w:pPr>
      <w:r>
        <w:rPr>
          <w:rFonts w:ascii="Times New Roman" w:hAnsi="Times New Roman"/>
        </w:rPr>
        <w:t>Установление порядка расчета и внесения платы за жилое помещение и коммунальные услуги, определение порядка организации и деятельности жилищных и жилищно-строительных кооперативов, товариществ собственников жилья относится к полномочиям органов государственной власти Российской Федерации (пункты 8, 9, 16 статьи 12 ЖК РФ).</w:t>
      </w:r>
    </w:p>
    <w:p w14:paraId="20F77785">
      <w:pPr>
        <w:spacing w:after="0" w:line="240" w:lineRule="auto"/>
        <w:ind w:firstLine="709"/>
        <w:jc w:val="both"/>
        <w:rPr>
          <w:rFonts w:ascii="Times New Roman" w:hAnsi="Times New Roman"/>
        </w:rPr>
      </w:pPr>
      <w:r>
        <w:rPr>
          <w:rFonts w:ascii="Times New Roman" w:hAnsi="Times New Roman"/>
        </w:rPr>
        <w:t>Пунктом 2 части 3 статьи 4 Закона города Москвы от 08.07.2009 года N 25 «О правовых актах города Москвы» постановления Правительства Москвы отнесены к числу подзаконных актов.</w:t>
      </w:r>
    </w:p>
    <w:p w14:paraId="5ECCBC77">
      <w:pPr>
        <w:spacing w:after="0" w:line="240" w:lineRule="auto"/>
        <w:ind w:firstLine="709"/>
        <w:jc w:val="both"/>
        <w:rPr>
          <w:rFonts w:ascii="Times New Roman" w:hAnsi="Times New Roman"/>
        </w:rPr>
      </w:pPr>
      <w:r>
        <w:rPr>
          <w:rFonts w:ascii="Times New Roman" w:hAnsi="Times New Roman"/>
        </w:rPr>
        <w:t>Частью 2 статьи 36 Федерального закона «Об общих принципах организации публичной власти в субъектах Российской Федерации» от 21.12.2021 N 414-ФЗ установлено, что  акты высшего исполнительного органа субъекта Российской Федерации, иных исполнительных органов субъекта Российской Федерации не должны противоречить Конституции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
    <w:p w14:paraId="0B588A79">
      <w:pPr>
        <w:spacing w:after="0" w:line="240" w:lineRule="auto"/>
        <w:ind w:firstLine="709"/>
        <w:jc w:val="both"/>
        <w:rPr>
          <w:rFonts w:ascii="Times New Roman" w:hAnsi="Times New Roman"/>
        </w:rPr>
      </w:pPr>
      <w:r>
        <w:rPr>
          <w:rFonts w:ascii="Times New Roman" w:hAnsi="Times New Roman"/>
        </w:rPr>
        <w:t>По смыслу указанных норм и с учетом конституционного принципа разделения властей, Правительство Москвы как высший исполнительный орган субъекта Российской Федерации может издавать правовые акты, устанавливающие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правовыми актами, только в конкретных случаях, когда оно наделено советующим полномочием федеральным законом или законом города Москвы.</w:t>
      </w:r>
    </w:p>
    <w:p w14:paraId="3D117EFB">
      <w:pPr>
        <w:spacing w:after="0" w:line="240" w:lineRule="auto"/>
        <w:ind w:firstLine="709"/>
        <w:jc w:val="both"/>
        <w:rPr>
          <w:rFonts w:ascii="Times New Roman" w:hAnsi="Times New Roman"/>
        </w:rPr>
      </w:pPr>
      <w:r>
        <w:rPr>
          <w:rFonts w:ascii="Times New Roman" w:hAnsi="Times New Roman"/>
        </w:rPr>
        <w:t>В настоящее время отношения по внесению платы за жилое помещение и коммунальные услуги исчерпывающе урегулированы нормами ЖК РФ и Постановлением Правительства Российской Федерации от 06.05.2011 года N 354 «О предоставлении коммунальных услуг собственникам и пользователям помещений в многоквартирных домах и жилых домов».</w:t>
      </w:r>
    </w:p>
    <w:p w14:paraId="331D9AC7">
      <w:pPr>
        <w:spacing w:after="0" w:line="240" w:lineRule="auto"/>
        <w:ind w:firstLine="709"/>
        <w:jc w:val="both"/>
        <w:rPr>
          <w:rFonts w:ascii="Times New Roman" w:hAnsi="Times New Roman"/>
        </w:rPr>
      </w:pPr>
      <w:r>
        <w:rPr>
          <w:rFonts w:ascii="Times New Roman" w:hAnsi="Times New Roman"/>
        </w:rPr>
        <w:t>Согласно действующему регулированию,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(ч. 5 ст. 155 ЖК РФ), а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(ч. 6 ст. 155 ЖК РФ).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(ч. 7 ст. 155 ЖК РФ).</w:t>
      </w:r>
    </w:p>
    <w:p w14:paraId="5366CD82">
      <w:pPr>
        <w:spacing w:after="0" w:line="240" w:lineRule="auto"/>
        <w:ind w:firstLine="709"/>
        <w:jc w:val="both"/>
        <w:rPr>
          <w:rFonts w:ascii="Times New Roman" w:hAnsi="Times New Roman"/>
        </w:rPr>
      </w:pPr>
      <w:r>
        <w:rPr>
          <w:rFonts w:ascii="Times New Roman" w:hAnsi="Times New Roman"/>
        </w:rPr>
        <w:t>Частью 15 статьи 155 ЖК РФ управляющей организации, иному юридическому лицу или индивидуальному предпринимателю, которым в соответствии с ЖК РФ вносится плата за жилое помещение и коммунальные услуги, а также их представителям предоставлено право осуществлять расчеты с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законодательством о банках и банковской деятельности.</w:t>
      </w:r>
    </w:p>
    <w:p w14:paraId="632F3E32">
      <w:pPr>
        <w:spacing w:after="0" w:line="240" w:lineRule="auto"/>
        <w:ind w:firstLine="709"/>
        <w:jc w:val="both"/>
        <w:rPr>
          <w:rFonts w:ascii="Times New Roman" w:hAnsi="Times New Roman"/>
        </w:rPr>
      </w:pPr>
      <w:r>
        <w:rPr>
          <w:rFonts w:ascii="Times New Roman" w:hAnsi="Times New Roman"/>
        </w:rPr>
        <w:t xml:space="preserve">Изданными Правительством Российской Федерации в соответствии с указанными положениями ЖК РФ Правилами предоставления коммунальных услуг собственникам  и пользователям помещений в многоквартирных домах и жилых домов (Постановление от 6 мая 2011 года N 354) установлено, что плата за коммунальные услуги вносится потребителями исполнителю либо действующему </w:t>
      </w:r>
      <w:r>
        <w:rPr>
          <w:rFonts w:ascii="Times New Roman" w:hAnsi="Times New Roman"/>
          <w:i/>
        </w:rPr>
        <w:t>по его поручению</w:t>
      </w:r>
      <w:r>
        <w:rPr>
          <w:rFonts w:ascii="Times New Roman" w:hAnsi="Times New Roman"/>
        </w:rPr>
        <w:t xml:space="preserve"> платежному агенту или банковскому платежному агенту (п. 63), при этом плата за коммунальные услуги вносится на основании платежных документов, представляемых потребителям исполнителем (п. 67). </w:t>
      </w:r>
    </w:p>
    <w:p w14:paraId="764FD42F">
      <w:pPr>
        <w:spacing w:after="0" w:line="240" w:lineRule="auto"/>
        <w:ind w:firstLine="709"/>
        <w:jc w:val="both"/>
        <w:rPr>
          <w:rFonts w:ascii="Times New Roman" w:hAnsi="Times New Roman"/>
        </w:rPr>
      </w:pPr>
      <w:r>
        <w:rPr>
          <w:rFonts w:ascii="Times New Roman" w:hAnsi="Times New Roman"/>
        </w:rPr>
        <w:t xml:space="preserve">Подпунктом е пункта 32 указанных Правил исполнителю коммунальных услуг предоставлено </w:t>
      </w:r>
      <w:r>
        <w:rPr>
          <w:rFonts w:ascii="Times New Roman" w:hAnsi="Times New Roman"/>
          <w:i/>
        </w:rPr>
        <w:t>право</w:t>
      </w:r>
      <w:r>
        <w:rPr>
          <w:rFonts w:ascii="Times New Roman" w:hAnsi="Times New Roman"/>
        </w:rPr>
        <w:t xml:space="preserve"> привлекать на основании соответствующего договора организацию или индивидуального предпринимателя для доставки платежных документов потребителям и для начисления платы за коммунальные услуги и подготовки доставки платежных документов.</w:t>
      </w:r>
    </w:p>
    <w:p w14:paraId="0997BB29">
      <w:pPr>
        <w:spacing w:after="0" w:line="240" w:lineRule="auto"/>
        <w:ind w:firstLine="709"/>
        <w:jc w:val="both"/>
        <w:rPr>
          <w:rFonts w:ascii="Times New Roman" w:hAnsi="Times New Roman"/>
        </w:rPr>
      </w:pPr>
      <w:r>
        <w:rPr>
          <w:rFonts w:ascii="Times New Roman" w:hAnsi="Times New Roman"/>
        </w:rPr>
        <w:t>Подпунктом ж пункта 4 во взаимосвязи с пунктами 1 и 2 Правил осуществления деятельности по управлению многоквартирными домами, утвержденных Постановлением Правительства Российской Федерации от 15 мая 2013 года N 416, установлено, что управление многоквартирным домом товариществами собственников жилья, жилищно-строительными кооперативами, жилищными кооперативами или иными специализированными потребительскими кооперативами, управляющими организациями включает в себя выполнение стандарта по организации и осуществление расчетов за услуги и работы по содержанию и ремонту общего имущества в многоквартирном доме, включая услуги и работы по управлению многоквартирным домом, и коммунальные услуги, в том числе:</w:t>
      </w:r>
    </w:p>
    <w:p w14:paraId="035D684E">
      <w:pPr>
        <w:spacing w:after="0" w:line="240" w:lineRule="auto"/>
        <w:ind w:firstLine="709"/>
        <w:jc w:val="both"/>
        <w:rPr>
          <w:rFonts w:ascii="Times New Roman" w:hAnsi="Times New Roman"/>
        </w:rPr>
      </w:pPr>
      <w:r>
        <w:rPr>
          <w:rFonts w:ascii="Times New Roman" w:hAnsi="Times New Roman"/>
        </w:rPr>
        <w:t>начисление обязательных платежей и взносов,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w:t>
      </w:r>
    </w:p>
    <w:p w14:paraId="028ED1BE">
      <w:pPr>
        <w:spacing w:after="0" w:line="240" w:lineRule="auto"/>
        <w:ind w:firstLine="709"/>
        <w:jc w:val="both"/>
        <w:rPr>
          <w:rFonts w:ascii="Times New Roman" w:hAnsi="Times New Roman"/>
        </w:rPr>
      </w:pPr>
      <w:r>
        <w:rPr>
          <w:rFonts w:ascii="Times New Roman" w:hAnsi="Times New Roman"/>
        </w:rPr>
        <w:t>оформление платежных документов и направление их собственникам и пользователям помещений в многоквартирном доме.</w:t>
      </w:r>
    </w:p>
    <w:p w14:paraId="26839708">
      <w:pPr>
        <w:spacing w:after="0" w:line="240" w:lineRule="auto"/>
        <w:ind w:firstLine="709"/>
        <w:jc w:val="both"/>
        <w:rPr>
          <w:rFonts w:ascii="Times New Roman" w:hAnsi="Times New Roman"/>
        </w:rPr>
      </w:pPr>
      <w:r>
        <w:rPr>
          <w:rFonts w:ascii="Times New Roman" w:hAnsi="Times New Roman"/>
        </w:rPr>
        <w:t>Приведенные нормы права подтверждают, что федеральное законодательство и подзаконные акты Российской Федерации ясно и последовательно закрепляют право организаций, осуществляющих управление многоквартирными домами, по своему усмотрению осуществлять начисление платы за жилое помещение своими силами (штатными работниками) либо передавать на добровольной договорной основе выполнение данной функции другой организации.</w:t>
      </w:r>
    </w:p>
    <w:p w14:paraId="4F3334DC">
      <w:pPr>
        <w:spacing w:after="0" w:line="240" w:lineRule="auto"/>
        <w:ind w:firstLine="709"/>
        <w:jc w:val="both"/>
        <w:rPr>
          <w:rFonts w:ascii="Times New Roman" w:hAnsi="Times New Roman"/>
        </w:rPr>
      </w:pPr>
      <w:r>
        <w:rPr>
          <w:rFonts w:ascii="Times New Roman" w:hAnsi="Times New Roman"/>
        </w:rPr>
        <w:t xml:space="preserve">Однако Постановление Правительства Москвы от 05.03.2025 г. N 414-ПП фактически отменяет указанное право организаций, управляющих многоквартирными домами, и устанавливает вместо него обязанность передать функцию начисления платы за жилое помещение и коммунальные услуги городской организации – ГБУ МФЦ города Москвы. </w:t>
      </w:r>
    </w:p>
    <w:p w14:paraId="520DDBBE">
      <w:pPr>
        <w:spacing w:after="0" w:line="240" w:lineRule="auto"/>
        <w:ind w:firstLine="709"/>
        <w:jc w:val="both"/>
        <w:rPr>
          <w:rFonts w:ascii="Times New Roman" w:hAnsi="Times New Roman"/>
        </w:rPr>
      </w:pPr>
      <w:r>
        <w:rPr>
          <w:rFonts w:ascii="Times New Roman" w:hAnsi="Times New Roman"/>
        </w:rPr>
        <w:t>При этом указанный подзаконный акт города Москвы не содержит указания на нормы федеральных законов, которые бы наделяли органы исполнительной власти субъекта Российской Федерации полномочием издавать такое регулирование по вопросу начисления платы за жилищно-коммунальные услуги и выставления платежных документов.</w:t>
      </w:r>
    </w:p>
    <w:p w14:paraId="582F1184">
      <w:pPr>
        <w:spacing w:after="0" w:line="240" w:lineRule="auto"/>
        <w:ind w:firstLine="709"/>
        <w:jc w:val="both"/>
        <w:rPr>
          <w:rFonts w:ascii="Times New Roman" w:hAnsi="Times New Roman"/>
        </w:rPr>
      </w:pPr>
      <w:r>
        <w:rPr>
          <w:rFonts w:ascii="Times New Roman" w:hAnsi="Times New Roman"/>
        </w:rPr>
        <w:t>Дополнительно сообщаю, что  в тексте договора с ГБУ МФЦ города Москвы   предусмотрено отсутствие у ГБУ МФЦ города Москвы ответственности за достоверность  начисления платы. При  этом возлагаются контрольные  и дополнительные функции, связанные с ежемесячными начислениями, именно на управляющие организации, товарищества собственников жилья, жилищно-строительные кооперативы, жилищными кооперативы. Те жилищные объединения, кто  уже обслуживается по  начислениям платы за жилищно-коммунальные услуги и выставлению платежных документов в данном  центре, недовольны качеством услуги ГБУ МФЦ города Москвы и планировали от нее отказаться по целому ряду причин.</w:t>
      </w:r>
    </w:p>
    <w:p w14:paraId="0AD64AEF">
      <w:pPr>
        <w:spacing w:after="0" w:line="240" w:lineRule="auto"/>
        <w:ind w:firstLine="709"/>
        <w:jc w:val="both"/>
        <w:rPr>
          <w:rFonts w:ascii="Times New Roman" w:hAnsi="Times New Roman"/>
        </w:rPr>
      </w:pPr>
      <w:r>
        <w:rPr>
          <w:rFonts w:ascii="Times New Roman" w:hAnsi="Times New Roman"/>
        </w:rPr>
        <w:t xml:space="preserve">Учитывая вышеизложенное, прошу разъяснить, на основании каких норм федеральных законов Правительство Москвы лишило управляющие организации, товарищества собственников жилья, жилищно-строительные кооперативы, жилищными кооперативы или иные специализированные потребительские кооперативы права самостоятельно, своими силами, либо с привлечением на добровольной основе третьих лиц, начислять собственникам помещений плату за жилое помещение и коммунальные услуги, оформлять платежные документы и направлять их собственникам. </w:t>
      </w:r>
    </w:p>
    <w:p w14:paraId="751D5DD5">
      <w:pPr>
        <w:spacing w:after="0" w:line="240" w:lineRule="auto"/>
        <w:ind w:firstLine="709"/>
        <w:jc w:val="both"/>
        <w:rPr>
          <w:rFonts w:ascii="Times New Roman" w:hAnsi="Times New Roman"/>
        </w:rPr>
      </w:pPr>
    </w:p>
    <w:p w14:paraId="1983C30C">
      <w:pPr>
        <w:spacing w:after="0" w:line="240" w:lineRule="auto"/>
        <w:ind w:firstLine="709"/>
        <w:jc w:val="both"/>
        <w:rPr>
          <w:rFonts w:ascii="Times New Roman" w:hAnsi="Times New Roman"/>
        </w:rPr>
      </w:pPr>
      <w:r>
        <w:rPr>
          <w:rFonts w:ascii="Times New Roman" w:hAnsi="Times New Roman"/>
        </w:rPr>
        <w:t>В случае подтверждения фактов нарушений законодательства Российской Федерации в Постановлении Правительства Москвы от 05.03.2025 г. N 414-ПП,  просим Вас принять меры прокурорского реагирования.</w:t>
      </w:r>
    </w:p>
    <w:p w14:paraId="732BD101">
      <w:pPr>
        <w:spacing w:after="0" w:line="240" w:lineRule="auto"/>
        <w:ind w:firstLine="709"/>
        <w:jc w:val="both"/>
        <w:rPr>
          <w:rFonts w:ascii="Times New Roman" w:hAnsi="Times New Roman"/>
          <w:color w:val="202124"/>
          <w:sz w:val="28"/>
          <w:highlight w:val="white"/>
        </w:rPr>
      </w:pPr>
    </w:p>
    <w:p w14:paraId="608B3AD7">
      <w:pPr>
        <w:spacing w:after="0" w:line="240" w:lineRule="auto"/>
        <w:ind w:firstLine="709"/>
        <w:jc w:val="both"/>
        <w:rPr>
          <w:rFonts w:hint="default" w:ascii="Times New Roman" w:hAnsi="Times New Roman"/>
          <w:color w:val="202124"/>
          <w:sz w:val="28"/>
          <w:highlight w:val="white"/>
          <w:lang w:val="ru-RU"/>
        </w:rPr>
      </w:pPr>
      <w:r>
        <w:rPr>
          <w:rFonts w:ascii="Times New Roman" w:hAnsi="Times New Roman"/>
          <w:color w:val="202124"/>
          <w:sz w:val="28"/>
          <w:highlight w:val="white"/>
          <w:lang w:val="ru-RU"/>
        </w:rPr>
        <w:t>С</w:t>
      </w:r>
      <w:r>
        <w:rPr>
          <w:rFonts w:hint="default" w:ascii="Times New Roman" w:hAnsi="Times New Roman"/>
          <w:color w:val="202124"/>
          <w:sz w:val="28"/>
          <w:highlight w:val="white"/>
          <w:lang w:val="ru-RU"/>
        </w:rPr>
        <w:t xml:space="preserve"> уважением,</w:t>
      </w:r>
    </w:p>
    <w:p w14:paraId="72BFC16A">
      <w:pPr>
        <w:spacing w:after="0" w:line="240" w:lineRule="auto"/>
        <w:ind w:firstLine="709"/>
        <w:jc w:val="both"/>
        <w:rPr>
          <w:rFonts w:hint="default" w:ascii="Times New Roman" w:hAnsi="Times New Roman"/>
          <w:color w:val="202124"/>
          <w:sz w:val="28"/>
          <w:highlight w:val="white"/>
          <w:lang w:val="ru-RU"/>
        </w:rPr>
      </w:pPr>
      <w:r>
        <w:rPr>
          <w:rFonts w:hint="default" w:ascii="Times New Roman" w:hAnsi="Times New Roman"/>
          <w:color w:val="202124"/>
          <w:sz w:val="28"/>
          <w:highlight w:val="white"/>
          <w:lang w:val="ru-RU"/>
        </w:rPr>
        <w:t>ИП Макеенко Е.Л. ______________</w:t>
      </w:r>
    </w:p>
    <w:p w14:paraId="1F0EC2B2">
      <w:pPr>
        <w:spacing w:after="0" w:line="240" w:lineRule="auto"/>
        <w:jc w:val="both"/>
        <w:rPr>
          <w:rFonts w:ascii="Times New Roman" w:hAnsi="Times New Roman"/>
          <w:sz w:val="32"/>
        </w:rPr>
      </w:pPr>
    </w:p>
    <w:p w14:paraId="150EFDE5">
      <w:pPr>
        <w:spacing w:after="0" w:line="240" w:lineRule="auto"/>
        <w:jc w:val="both"/>
        <w:rPr>
          <w:rFonts w:ascii="Times New Roman" w:hAnsi="Times New Roman"/>
          <w:b/>
          <w:color w:val="833C0B"/>
          <w:sz w:val="28"/>
        </w:rPr>
      </w:pPr>
      <w:r>
        <w:rPr>
          <w:rFonts w:ascii="Times New Roman" w:hAnsi="Times New Roman"/>
          <w:b/>
          <w:color w:val="833C0B"/>
          <w:sz w:val="28"/>
        </w:rPr>
        <w:t xml:space="preserve"> </w:t>
      </w:r>
    </w:p>
    <w:p w14:paraId="2BE357DD"/>
    <w:p w14:paraId="16682165"/>
    <w:sectPr>
      <w:pgSz w:w="11906" w:h="16838"/>
      <w:pgMar w:top="720" w:right="720" w:bottom="720" w:left="720" w:header="709" w:footer="70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Times New Roman"/>
    <w:panose1 w:val="00000000000000000000"/>
    <w:charset w:val="00"/>
    <w:family w:val="roman"/>
    <w:pitch w:val="default"/>
    <w:sig w:usb0="00000000" w:usb1="00000000" w:usb2="00000000" w:usb3="00000000" w:csb0="00000000" w:csb1="00000000"/>
  </w:font>
  <w:font w:name="Aptos Display">
    <w:altName w:val="Times New Roman"/>
    <w:panose1 w:val="00000000000000000000"/>
    <w:charset w:val="00"/>
    <w:family w:val="roman"/>
    <w:pitch w:val="default"/>
    <w:sig w:usb0="00000000" w:usb1="00000000" w:usb2="00000000" w:usb3="00000000" w:csb0="00000000" w:csb1="00000000"/>
  </w:font>
  <w:font w:name="XO Thames">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A22"/>
    <w:rsid w:val="00067716"/>
    <w:rsid w:val="00223448"/>
    <w:rsid w:val="00240EBC"/>
    <w:rsid w:val="00786F18"/>
    <w:rsid w:val="00AC0F99"/>
    <w:rsid w:val="00DD3D42"/>
    <w:rsid w:val="00FE3A22"/>
    <w:rsid w:val="341F3C09"/>
    <w:rsid w:val="46B45B85"/>
    <w:rsid w:val="5FD849C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List Paragraph"/>
    <w:lsdException w:unhideWhenUsed="0" w:uiPriority="0" w:semiHidden="0" w:name="Quote"/>
    <w:lsdException w:unhideWhenUsed="0" w:uiPriority="0" w:semiHidden="0" w:name="Intense Quote"/>
  </w:latentStyles>
  <w:style w:type="paragraph" w:default="1" w:styleId="1">
    <w:name w:val="Normal"/>
    <w:qFormat/>
    <w:uiPriority w:val="0"/>
    <w:pPr>
      <w:spacing w:after="160" w:line="278" w:lineRule="auto"/>
    </w:pPr>
    <w:rPr>
      <w:rFonts w:eastAsia="Times New Roman" w:cs="Times New Roman" w:asciiTheme="minorHAnsi" w:hAnsiTheme="minorHAnsi"/>
      <w:color w:val="000000"/>
      <w:sz w:val="24"/>
      <w:lang w:val="ru-RU" w:eastAsia="ru-RU" w:bidi="ar-SA"/>
    </w:rPr>
  </w:style>
  <w:style w:type="paragraph" w:styleId="2">
    <w:name w:val="heading 1"/>
    <w:basedOn w:val="1"/>
    <w:next w:val="1"/>
    <w:link w:val="45"/>
    <w:qFormat/>
    <w:uiPriority w:val="9"/>
    <w:pPr>
      <w:keepNext/>
      <w:keepLines/>
      <w:spacing w:before="360" w:after="80"/>
      <w:outlineLvl w:val="0"/>
    </w:pPr>
    <w:rPr>
      <w:rFonts w:asciiTheme="majorHAnsi" w:hAnsiTheme="majorHAnsi"/>
      <w:color w:val="104861"/>
      <w:sz w:val="40"/>
    </w:rPr>
  </w:style>
  <w:style w:type="paragraph" w:styleId="3">
    <w:name w:val="heading 2"/>
    <w:basedOn w:val="1"/>
    <w:next w:val="1"/>
    <w:link w:val="62"/>
    <w:qFormat/>
    <w:uiPriority w:val="9"/>
    <w:pPr>
      <w:keepNext/>
      <w:keepLines/>
      <w:spacing w:before="160" w:after="80"/>
      <w:outlineLvl w:val="1"/>
    </w:pPr>
    <w:rPr>
      <w:rFonts w:asciiTheme="majorHAnsi" w:hAnsiTheme="majorHAnsi"/>
      <w:color w:val="104861"/>
      <w:sz w:val="32"/>
    </w:rPr>
  </w:style>
  <w:style w:type="paragraph" w:styleId="4">
    <w:name w:val="heading 3"/>
    <w:basedOn w:val="1"/>
    <w:next w:val="1"/>
    <w:link w:val="36"/>
    <w:qFormat/>
    <w:uiPriority w:val="9"/>
    <w:pPr>
      <w:keepNext/>
      <w:keepLines/>
      <w:spacing w:before="160" w:after="80"/>
      <w:outlineLvl w:val="2"/>
    </w:pPr>
    <w:rPr>
      <w:color w:val="104861"/>
      <w:sz w:val="28"/>
    </w:rPr>
  </w:style>
  <w:style w:type="paragraph" w:styleId="5">
    <w:name w:val="heading 4"/>
    <w:basedOn w:val="1"/>
    <w:next w:val="1"/>
    <w:link w:val="61"/>
    <w:qFormat/>
    <w:uiPriority w:val="9"/>
    <w:pPr>
      <w:keepNext/>
      <w:keepLines/>
      <w:spacing w:before="80" w:after="40"/>
      <w:outlineLvl w:val="3"/>
    </w:pPr>
    <w:rPr>
      <w:i/>
      <w:color w:val="104861"/>
    </w:rPr>
  </w:style>
  <w:style w:type="paragraph" w:styleId="6">
    <w:name w:val="heading 5"/>
    <w:basedOn w:val="1"/>
    <w:next w:val="1"/>
    <w:link w:val="44"/>
    <w:qFormat/>
    <w:uiPriority w:val="9"/>
    <w:pPr>
      <w:keepNext/>
      <w:keepLines/>
      <w:spacing w:before="80" w:after="40"/>
      <w:outlineLvl w:val="4"/>
    </w:pPr>
    <w:rPr>
      <w:color w:val="104861"/>
    </w:rPr>
  </w:style>
  <w:style w:type="paragraph" w:styleId="7">
    <w:name w:val="heading 6"/>
    <w:basedOn w:val="1"/>
    <w:next w:val="1"/>
    <w:link w:val="63"/>
    <w:qFormat/>
    <w:uiPriority w:val="9"/>
    <w:pPr>
      <w:keepNext/>
      <w:keepLines/>
      <w:spacing w:before="40" w:after="0"/>
      <w:outlineLvl w:val="5"/>
    </w:pPr>
    <w:rPr>
      <w:i/>
      <w:color w:val="595959"/>
    </w:rPr>
  </w:style>
  <w:style w:type="paragraph" w:styleId="8">
    <w:name w:val="heading 7"/>
    <w:basedOn w:val="1"/>
    <w:next w:val="1"/>
    <w:link w:val="29"/>
    <w:qFormat/>
    <w:uiPriority w:val="9"/>
    <w:pPr>
      <w:keepNext/>
      <w:keepLines/>
      <w:spacing w:before="40" w:after="0"/>
      <w:outlineLvl w:val="6"/>
    </w:pPr>
    <w:rPr>
      <w:color w:val="595959"/>
    </w:rPr>
  </w:style>
  <w:style w:type="paragraph" w:styleId="9">
    <w:name w:val="heading 8"/>
    <w:basedOn w:val="1"/>
    <w:next w:val="1"/>
    <w:link w:val="48"/>
    <w:qFormat/>
    <w:uiPriority w:val="9"/>
    <w:pPr>
      <w:keepNext/>
      <w:keepLines/>
      <w:spacing w:after="0"/>
      <w:outlineLvl w:val="7"/>
    </w:pPr>
    <w:rPr>
      <w:i/>
      <w:color w:val="262626"/>
    </w:rPr>
  </w:style>
  <w:style w:type="paragraph" w:styleId="10">
    <w:name w:val="heading 9"/>
    <w:basedOn w:val="1"/>
    <w:next w:val="1"/>
    <w:link w:val="40"/>
    <w:qFormat/>
    <w:uiPriority w:val="9"/>
    <w:pPr>
      <w:keepNext/>
      <w:keepLines/>
      <w:spacing w:after="0"/>
      <w:outlineLvl w:val="8"/>
    </w:pPr>
    <w:rPr>
      <w:color w:val="262626"/>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link w:val="14"/>
    <w:qFormat/>
    <w:uiPriority w:val="0"/>
    <w:rPr>
      <w:color w:val="0000FF"/>
      <w:u w:val="single"/>
    </w:rPr>
  </w:style>
  <w:style w:type="paragraph" w:customStyle="1" w:styleId="14">
    <w:name w:val="Гиперссылка1"/>
    <w:link w:val="13"/>
    <w:qFormat/>
    <w:uiPriority w:val="0"/>
    <w:pPr>
      <w:spacing w:after="160" w:line="278" w:lineRule="auto"/>
    </w:pPr>
    <w:rPr>
      <w:rFonts w:eastAsia="Times New Roman" w:cs="Times New Roman" w:asciiTheme="minorHAnsi" w:hAnsiTheme="minorHAnsi"/>
      <w:color w:val="0000FF"/>
      <w:sz w:val="24"/>
      <w:u w:val="single"/>
      <w:lang w:val="ru-RU" w:eastAsia="ru-RU" w:bidi="ar-SA"/>
    </w:rPr>
  </w:style>
  <w:style w:type="paragraph" w:styleId="15">
    <w:name w:val="toc 8"/>
    <w:next w:val="1"/>
    <w:link w:val="53"/>
    <w:qFormat/>
    <w:uiPriority w:val="39"/>
    <w:pPr>
      <w:spacing w:after="160" w:line="278" w:lineRule="auto"/>
      <w:ind w:left="1400"/>
    </w:pPr>
    <w:rPr>
      <w:rFonts w:ascii="XO Thames" w:hAnsi="XO Thames" w:eastAsia="Times New Roman" w:cs="Times New Roman"/>
      <w:color w:val="000000"/>
      <w:sz w:val="28"/>
      <w:lang w:val="ru-RU" w:eastAsia="ru-RU" w:bidi="ar-SA"/>
    </w:rPr>
  </w:style>
  <w:style w:type="paragraph" w:styleId="16">
    <w:name w:val="toc 9"/>
    <w:next w:val="1"/>
    <w:link w:val="52"/>
    <w:qFormat/>
    <w:uiPriority w:val="39"/>
    <w:pPr>
      <w:spacing w:after="160" w:line="278" w:lineRule="auto"/>
      <w:ind w:left="1600"/>
    </w:pPr>
    <w:rPr>
      <w:rFonts w:ascii="XO Thames" w:hAnsi="XO Thames" w:eastAsia="Times New Roman" w:cs="Times New Roman"/>
      <w:color w:val="000000"/>
      <w:sz w:val="28"/>
      <w:lang w:val="ru-RU" w:eastAsia="ru-RU" w:bidi="ar-SA"/>
    </w:rPr>
  </w:style>
  <w:style w:type="paragraph" w:styleId="17">
    <w:name w:val="toc 7"/>
    <w:next w:val="1"/>
    <w:link w:val="31"/>
    <w:qFormat/>
    <w:uiPriority w:val="39"/>
    <w:pPr>
      <w:spacing w:after="160" w:line="278" w:lineRule="auto"/>
      <w:ind w:left="1200"/>
    </w:pPr>
    <w:rPr>
      <w:rFonts w:ascii="XO Thames" w:hAnsi="XO Thames" w:eastAsia="Times New Roman" w:cs="Times New Roman"/>
      <w:color w:val="000000"/>
      <w:sz w:val="28"/>
      <w:lang w:val="ru-RU" w:eastAsia="ru-RU" w:bidi="ar-SA"/>
    </w:rPr>
  </w:style>
  <w:style w:type="paragraph" w:styleId="18">
    <w:name w:val="toc 1"/>
    <w:next w:val="1"/>
    <w:link w:val="49"/>
    <w:uiPriority w:val="39"/>
    <w:pPr>
      <w:spacing w:after="160" w:line="278" w:lineRule="auto"/>
    </w:pPr>
    <w:rPr>
      <w:rFonts w:ascii="XO Thames" w:hAnsi="XO Thames" w:eastAsia="Times New Roman" w:cs="Times New Roman"/>
      <w:b/>
      <w:color w:val="000000"/>
      <w:sz w:val="28"/>
      <w:lang w:val="ru-RU" w:eastAsia="ru-RU" w:bidi="ar-SA"/>
    </w:rPr>
  </w:style>
  <w:style w:type="paragraph" w:styleId="19">
    <w:name w:val="toc 6"/>
    <w:next w:val="1"/>
    <w:link w:val="30"/>
    <w:qFormat/>
    <w:uiPriority w:val="39"/>
    <w:pPr>
      <w:spacing w:after="160" w:line="278" w:lineRule="auto"/>
      <w:ind w:left="1000"/>
    </w:pPr>
    <w:rPr>
      <w:rFonts w:ascii="XO Thames" w:hAnsi="XO Thames" w:eastAsia="Times New Roman" w:cs="Times New Roman"/>
      <w:color w:val="000000"/>
      <w:sz w:val="28"/>
      <w:lang w:val="ru-RU" w:eastAsia="ru-RU" w:bidi="ar-SA"/>
    </w:rPr>
  </w:style>
  <w:style w:type="paragraph" w:styleId="20">
    <w:name w:val="toc 3"/>
    <w:next w:val="1"/>
    <w:link w:val="43"/>
    <w:uiPriority w:val="39"/>
    <w:pPr>
      <w:spacing w:after="160" w:line="278" w:lineRule="auto"/>
      <w:ind w:left="400"/>
    </w:pPr>
    <w:rPr>
      <w:rFonts w:ascii="XO Thames" w:hAnsi="XO Thames" w:eastAsia="Times New Roman" w:cs="Times New Roman"/>
      <w:color w:val="000000"/>
      <w:sz w:val="28"/>
      <w:lang w:val="ru-RU" w:eastAsia="ru-RU" w:bidi="ar-SA"/>
    </w:rPr>
  </w:style>
  <w:style w:type="paragraph" w:styleId="21">
    <w:name w:val="toc 2"/>
    <w:next w:val="1"/>
    <w:link w:val="27"/>
    <w:uiPriority w:val="39"/>
    <w:pPr>
      <w:spacing w:after="160" w:line="278" w:lineRule="auto"/>
      <w:ind w:left="200"/>
    </w:pPr>
    <w:rPr>
      <w:rFonts w:ascii="XO Thames" w:hAnsi="XO Thames" w:eastAsia="Times New Roman" w:cs="Times New Roman"/>
      <w:color w:val="000000"/>
      <w:sz w:val="28"/>
      <w:lang w:val="ru-RU" w:eastAsia="ru-RU" w:bidi="ar-SA"/>
    </w:rPr>
  </w:style>
  <w:style w:type="paragraph" w:styleId="22">
    <w:name w:val="toc 4"/>
    <w:next w:val="1"/>
    <w:link w:val="28"/>
    <w:qFormat/>
    <w:uiPriority w:val="39"/>
    <w:pPr>
      <w:spacing w:after="160" w:line="278" w:lineRule="auto"/>
      <w:ind w:left="600"/>
    </w:pPr>
    <w:rPr>
      <w:rFonts w:ascii="XO Thames" w:hAnsi="XO Thames" w:eastAsia="Times New Roman" w:cs="Times New Roman"/>
      <w:color w:val="000000"/>
      <w:sz w:val="28"/>
      <w:lang w:val="ru-RU" w:eastAsia="ru-RU" w:bidi="ar-SA"/>
    </w:rPr>
  </w:style>
  <w:style w:type="paragraph" w:styleId="23">
    <w:name w:val="toc 5"/>
    <w:next w:val="1"/>
    <w:link w:val="54"/>
    <w:qFormat/>
    <w:uiPriority w:val="39"/>
    <w:pPr>
      <w:spacing w:after="160" w:line="278" w:lineRule="auto"/>
      <w:ind w:left="800"/>
    </w:pPr>
    <w:rPr>
      <w:rFonts w:ascii="XO Thames" w:hAnsi="XO Thames" w:eastAsia="Times New Roman" w:cs="Times New Roman"/>
      <w:color w:val="000000"/>
      <w:sz w:val="28"/>
      <w:lang w:val="ru-RU" w:eastAsia="ru-RU" w:bidi="ar-SA"/>
    </w:rPr>
  </w:style>
  <w:style w:type="paragraph" w:styleId="24">
    <w:name w:val="Title"/>
    <w:basedOn w:val="1"/>
    <w:next w:val="1"/>
    <w:link w:val="60"/>
    <w:qFormat/>
    <w:uiPriority w:val="10"/>
    <w:pPr>
      <w:spacing w:after="80" w:line="240" w:lineRule="auto"/>
      <w:contextualSpacing/>
    </w:pPr>
    <w:rPr>
      <w:rFonts w:asciiTheme="majorHAnsi" w:hAnsiTheme="majorHAnsi"/>
      <w:spacing w:val="-10"/>
      <w:sz w:val="56"/>
    </w:rPr>
  </w:style>
  <w:style w:type="paragraph" w:styleId="25">
    <w:name w:val="Subtitle"/>
    <w:basedOn w:val="1"/>
    <w:next w:val="1"/>
    <w:link w:val="57"/>
    <w:qFormat/>
    <w:uiPriority w:val="11"/>
    <w:rPr>
      <w:color w:val="595959"/>
      <w:spacing w:val="15"/>
      <w:sz w:val="28"/>
    </w:rPr>
  </w:style>
  <w:style w:type="character" w:customStyle="1" w:styleId="26">
    <w:name w:val="Обычный1"/>
    <w:uiPriority w:val="0"/>
  </w:style>
  <w:style w:type="character" w:customStyle="1" w:styleId="27">
    <w:name w:val="Оглавление 2 Знак"/>
    <w:link w:val="21"/>
    <w:uiPriority w:val="0"/>
    <w:rPr>
      <w:rFonts w:ascii="XO Thames" w:hAnsi="XO Thames"/>
      <w:sz w:val="28"/>
    </w:rPr>
  </w:style>
  <w:style w:type="character" w:customStyle="1" w:styleId="28">
    <w:name w:val="Оглавление 4 Знак"/>
    <w:link w:val="22"/>
    <w:uiPriority w:val="0"/>
    <w:rPr>
      <w:rFonts w:ascii="XO Thames" w:hAnsi="XO Thames"/>
      <w:sz w:val="28"/>
    </w:rPr>
  </w:style>
  <w:style w:type="character" w:customStyle="1" w:styleId="29">
    <w:name w:val="Заголовок 7 Знак"/>
    <w:basedOn w:val="26"/>
    <w:link w:val="8"/>
    <w:qFormat/>
    <w:uiPriority w:val="0"/>
    <w:rPr>
      <w:color w:val="595959"/>
    </w:rPr>
  </w:style>
  <w:style w:type="character" w:customStyle="1" w:styleId="30">
    <w:name w:val="Оглавление 6 Знак"/>
    <w:link w:val="19"/>
    <w:uiPriority w:val="0"/>
    <w:rPr>
      <w:rFonts w:ascii="XO Thames" w:hAnsi="XO Thames"/>
      <w:sz w:val="28"/>
    </w:rPr>
  </w:style>
  <w:style w:type="character" w:customStyle="1" w:styleId="31">
    <w:name w:val="Оглавление 7 Знак"/>
    <w:link w:val="17"/>
    <w:qFormat/>
    <w:uiPriority w:val="0"/>
    <w:rPr>
      <w:rFonts w:ascii="XO Thames" w:hAnsi="XO Thames"/>
      <w:sz w:val="28"/>
    </w:rPr>
  </w:style>
  <w:style w:type="paragraph" w:styleId="32">
    <w:name w:val="Intense Quote"/>
    <w:basedOn w:val="1"/>
    <w:next w:val="1"/>
    <w:link w:val="33"/>
    <w:uiPriority w:val="0"/>
    <w:pPr>
      <w:pBdr>
        <w:top w:val="single" w:color="0F4761" w:themeColor="accent1" w:themeShade="BF" w:sz="4" w:space="10"/>
        <w:bottom w:val="single" w:color="0F4761" w:themeColor="accent1" w:themeShade="BF" w:sz="4" w:space="10"/>
      </w:pBdr>
      <w:spacing w:before="360" w:after="360"/>
      <w:ind w:left="864" w:right="864"/>
      <w:jc w:val="center"/>
    </w:pPr>
    <w:rPr>
      <w:i/>
      <w:color w:val="104861"/>
    </w:rPr>
  </w:style>
  <w:style w:type="character" w:customStyle="1" w:styleId="33">
    <w:name w:val="Выделенная цитата Знак"/>
    <w:basedOn w:val="26"/>
    <w:link w:val="32"/>
    <w:qFormat/>
    <w:uiPriority w:val="0"/>
    <w:rPr>
      <w:i/>
      <w:color w:val="104861"/>
    </w:rPr>
  </w:style>
  <w:style w:type="paragraph" w:customStyle="1" w:styleId="34">
    <w:name w:val="Endnote"/>
    <w:link w:val="35"/>
    <w:qFormat/>
    <w:uiPriority w:val="0"/>
    <w:pPr>
      <w:spacing w:after="160" w:line="278" w:lineRule="auto"/>
      <w:ind w:firstLine="851"/>
      <w:jc w:val="both"/>
    </w:pPr>
    <w:rPr>
      <w:rFonts w:ascii="XO Thames" w:hAnsi="XO Thames" w:eastAsia="Times New Roman" w:cs="Times New Roman"/>
      <w:color w:val="000000"/>
      <w:sz w:val="22"/>
      <w:lang w:val="ru-RU" w:eastAsia="ru-RU" w:bidi="ar-SA"/>
    </w:rPr>
  </w:style>
  <w:style w:type="character" w:customStyle="1" w:styleId="35">
    <w:name w:val="Endnote1"/>
    <w:link w:val="34"/>
    <w:qFormat/>
    <w:uiPriority w:val="0"/>
    <w:rPr>
      <w:rFonts w:ascii="XO Thames" w:hAnsi="XO Thames"/>
      <w:sz w:val="22"/>
    </w:rPr>
  </w:style>
  <w:style w:type="character" w:customStyle="1" w:styleId="36">
    <w:name w:val="Заголовок 3 Знак"/>
    <w:basedOn w:val="26"/>
    <w:link w:val="4"/>
    <w:qFormat/>
    <w:uiPriority w:val="0"/>
    <w:rPr>
      <w:color w:val="104861"/>
      <w:sz w:val="28"/>
    </w:rPr>
  </w:style>
  <w:style w:type="paragraph" w:customStyle="1" w:styleId="37">
    <w:name w:val="Сильное выделение1"/>
    <w:basedOn w:val="38"/>
    <w:link w:val="39"/>
    <w:qFormat/>
    <w:uiPriority w:val="0"/>
    <w:rPr>
      <w:i/>
      <w:color w:val="104861"/>
    </w:rPr>
  </w:style>
  <w:style w:type="paragraph" w:customStyle="1" w:styleId="38">
    <w:name w:val="Основной шрифт абзаца1"/>
    <w:qFormat/>
    <w:uiPriority w:val="0"/>
    <w:pPr>
      <w:spacing w:after="160" w:line="278" w:lineRule="auto"/>
    </w:pPr>
    <w:rPr>
      <w:rFonts w:eastAsia="Times New Roman" w:cs="Times New Roman" w:asciiTheme="minorHAnsi" w:hAnsiTheme="minorHAnsi"/>
      <w:color w:val="000000"/>
      <w:sz w:val="24"/>
      <w:lang w:val="ru-RU" w:eastAsia="ru-RU" w:bidi="ar-SA"/>
    </w:rPr>
  </w:style>
  <w:style w:type="character" w:customStyle="1" w:styleId="39">
    <w:name w:val="Intense Emphasis"/>
    <w:basedOn w:val="11"/>
    <w:link w:val="37"/>
    <w:uiPriority w:val="0"/>
    <w:rPr>
      <w:i/>
      <w:color w:val="104861"/>
    </w:rPr>
  </w:style>
  <w:style w:type="character" w:customStyle="1" w:styleId="40">
    <w:name w:val="Заголовок 9 Знак"/>
    <w:basedOn w:val="26"/>
    <w:link w:val="10"/>
    <w:uiPriority w:val="0"/>
    <w:rPr>
      <w:color w:val="262626"/>
    </w:rPr>
  </w:style>
  <w:style w:type="paragraph" w:styleId="41">
    <w:name w:val="List Paragraph"/>
    <w:basedOn w:val="1"/>
    <w:link w:val="42"/>
    <w:qFormat/>
    <w:uiPriority w:val="0"/>
    <w:pPr>
      <w:ind w:left="720"/>
      <w:contextualSpacing/>
    </w:pPr>
  </w:style>
  <w:style w:type="character" w:customStyle="1" w:styleId="42">
    <w:name w:val="Абзац списка Знак"/>
    <w:basedOn w:val="26"/>
    <w:link w:val="41"/>
    <w:qFormat/>
    <w:uiPriority w:val="0"/>
  </w:style>
  <w:style w:type="character" w:customStyle="1" w:styleId="43">
    <w:name w:val="Оглавление 3 Знак"/>
    <w:link w:val="20"/>
    <w:qFormat/>
    <w:uiPriority w:val="0"/>
    <w:rPr>
      <w:rFonts w:ascii="XO Thames" w:hAnsi="XO Thames"/>
      <w:sz w:val="28"/>
    </w:rPr>
  </w:style>
  <w:style w:type="character" w:customStyle="1" w:styleId="44">
    <w:name w:val="Заголовок 5 Знак"/>
    <w:basedOn w:val="26"/>
    <w:link w:val="6"/>
    <w:uiPriority w:val="0"/>
    <w:rPr>
      <w:color w:val="104861"/>
    </w:rPr>
  </w:style>
  <w:style w:type="character" w:customStyle="1" w:styleId="45">
    <w:name w:val="Заголовок 1 Знак"/>
    <w:basedOn w:val="26"/>
    <w:link w:val="2"/>
    <w:uiPriority w:val="0"/>
    <w:rPr>
      <w:rFonts w:asciiTheme="majorHAnsi" w:hAnsiTheme="majorHAnsi"/>
      <w:color w:val="104861"/>
      <w:sz w:val="40"/>
    </w:rPr>
  </w:style>
  <w:style w:type="paragraph" w:customStyle="1" w:styleId="46">
    <w:name w:val="Footnote"/>
    <w:link w:val="47"/>
    <w:uiPriority w:val="0"/>
    <w:pPr>
      <w:spacing w:after="160" w:line="278" w:lineRule="auto"/>
      <w:ind w:firstLine="851"/>
      <w:jc w:val="both"/>
    </w:pPr>
    <w:rPr>
      <w:rFonts w:ascii="XO Thames" w:hAnsi="XO Thames" w:eastAsia="Times New Roman" w:cs="Times New Roman"/>
      <w:color w:val="000000"/>
      <w:sz w:val="22"/>
      <w:lang w:val="ru-RU" w:eastAsia="ru-RU" w:bidi="ar-SA"/>
    </w:rPr>
  </w:style>
  <w:style w:type="character" w:customStyle="1" w:styleId="47">
    <w:name w:val="Footnote1"/>
    <w:link w:val="46"/>
    <w:uiPriority w:val="0"/>
    <w:rPr>
      <w:rFonts w:ascii="XO Thames" w:hAnsi="XO Thames"/>
      <w:sz w:val="22"/>
    </w:rPr>
  </w:style>
  <w:style w:type="character" w:customStyle="1" w:styleId="48">
    <w:name w:val="Заголовок 8 Знак"/>
    <w:basedOn w:val="26"/>
    <w:link w:val="9"/>
    <w:uiPriority w:val="0"/>
    <w:rPr>
      <w:i/>
      <w:color w:val="262626"/>
    </w:rPr>
  </w:style>
  <w:style w:type="character" w:customStyle="1" w:styleId="49">
    <w:name w:val="Оглавление 1 Знак"/>
    <w:link w:val="18"/>
    <w:uiPriority w:val="0"/>
    <w:rPr>
      <w:rFonts w:ascii="XO Thames" w:hAnsi="XO Thames"/>
      <w:b/>
      <w:sz w:val="28"/>
    </w:rPr>
  </w:style>
  <w:style w:type="paragraph" w:customStyle="1" w:styleId="50">
    <w:name w:val="Header and Footer"/>
    <w:link w:val="51"/>
    <w:qFormat/>
    <w:uiPriority w:val="0"/>
    <w:pPr>
      <w:spacing w:after="160" w:line="240" w:lineRule="auto"/>
      <w:jc w:val="both"/>
    </w:pPr>
    <w:rPr>
      <w:rFonts w:ascii="XO Thames" w:hAnsi="XO Thames" w:eastAsia="Times New Roman" w:cs="Times New Roman"/>
      <w:color w:val="000000"/>
      <w:sz w:val="28"/>
      <w:lang w:val="ru-RU" w:eastAsia="ru-RU" w:bidi="ar-SA"/>
    </w:rPr>
  </w:style>
  <w:style w:type="character" w:customStyle="1" w:styleId="51">
    <w:name w:val="Header and Footer1"/>
    <w:link w:val="50"/>
    <w:qFormat/>
    <w:uiPriority w:val="0"/>
    <w:rPr>
      <w:rFonts w:ascii="XO Thames" w:hAnsi="XO Thames"/>
      <w:sz w:val="28"/>
    </w:rPr>
  </w:style>
  <w:style w:type="character" w:customStyle="1" w:styleId="52">
    <w:name w:val="Оглавление 9 Знак"/>
    <w:link w:val="16"/>
    <w:qFormat/>
    <w:uiPriority w:val="0"/>
    <w:rPr>
      <w:rFonts w:ascii="XO Thames" w:hAnsi="XO Thames"/>
      <w:sz w:val="28"/>
    </w:rPr>
  </w:style>
  <w:style w:type="character" w:customStyle="1" w:styleId="53">
    <w:name w:val="Оглавление 8 Знак"/>
    <w:link w:val="15"/>
    <w:qFormat/>
    <w:uiPriority w:val="0"/>
    <w:rPr>
      <w:rFonts w:ascii="XO Thames" w:hAnsi="XO Thames"/>
      <w:sz w:val="28"/>
    </w:rPr>
  </w:style>
  <w:style w:type="character" w:customStyle="1" w:styleId="54">
    <w:name w:val="Оглавление 5 Знак"/>
    <w:link w:val="23"/>
    <w:qFormat/>
    <w:uiPriority w:val="0"/>
    <w:rPr>
      <w:rFonts w:ascii="XO Thames" w:hAnsi="XO Thames"/>
      <w:sz w:val="28"/>
    </w:rPr>
  </w:style>
  <w:style w:type="paragraph" w:styleId="55">
    <w:name w:val="Quote"/>
    <w:basedOn w:val="1"/>
    <w:next w:val="1"/>
    <w:link w:val="56"/>
    <w:uiPriority w:val="0"/>
    <w:pPr>
      <w:spacing w:before="160"/>
      <w:jc w:val="center"/>
    </w:pPr>
    <w:rPr>
      <w:i/>
      <w:color w:val="3F3F3F"/>
    </w:rPr>
  </w:style>
  <w:style w:type="character" w:customStyle="1" w:styleId="56">
    <w:name w:val="Цитата 2 Знак"/>
    <w:basedOn w:val="26"/>
    <w:link w:val="55"/>
    <w:qFormat/>
    <w:uiPriority w:val="0"/>
    <w:rPr>
      <w:i/>
      <w:color w:val="3F3F3F"/>
    </w:rPr>
  </w:style>
  <w:style w:type="character" w:customStyle="1" w:styleId="57">
    <w:name w:val="Подзаголовок Знак"/>
    <w:basedOn w:val="26"/>
    <w:link w:val="25"/>
    <w:qFormat/>
    <w:uiPriority w:val="0"/>
    <w:rPr>
      <w:color w:val="595959"/>
      <w:spacing w:val="15"/>
      <w:sz w:val="28"/>
    </w:rPr>
  </w:style>
  <w:style w:type="paragraph" w:customStyle="1" w:styleId="58">
    <w:name w:val="Сильная ссылка1"/>
    <w:basedOn w:val="38"/>
    <w:link w:val="59"/>
    <w:uiPriority w:val="0"/>
    <w:rPr>
      <w:b/>
      <w:smallCaps/>
      <w:color w:val="104861"/>
      <w:spacing w:val="5"/>
    </w:rPr>
  </w:style>
  <w:style w:type="character" w:customStyle="1" w:styleId="59">
    <w:name w:val="Intense Reference"/>
    <w:basedOn w:val="11"/>
    <w:link w:val="58"/>
    <w:qFormat/>
    <w:uiPriority w:val="0"/>
    <w:rPr>
      <w:b/>
      <w:smallCaps/>
      <w:color w:val="104861"/>
      <w:spacing w:val="5"/>
    </w:rPr>
  </w:style>
  <w:style w:type="character" w:customStyle="1" w:styleId="60">
    <w:name w:val="Название Знак"/>
    <w:basedOn w:val="26"/>
    <w:link w:val="24"/>
    <w:qFormat/>
    <w:uiPriority w:val="0"/>
    <w:rPr>
      <w:rFonts w:asciiTheme="majorHAnsi" w:hAnsiTheme="majorHAnsi"/>
      <w:spacing w:val="-10"/>
      <w:sz w:val="56"/>
    </w:rPr>
  </w:style>
  <w:style w:type="character" w:customStyle="1" w:styleId="61">
    <w:name w:val="Заголовок 4 Знак"/>
    <w:basedOn w:val="26"/>
    <w:link w:val="5"/>
    <w:qFormat/>
    <w:uiPriority w:val="0"/>
    <w:rPr>
      <w:i/>
      <w:color w:val="104861"/>
    </w:rPr>
  </w:style>
  <w:style w:type="character" w:customStyle="1" w:styleId="62">
    <w:name w:val="Заголовок 2 Знак"/>
    <w:basedOn w:val="26"/>
    <w:link w:val="3"/>
    <w:qFormat/>
    <w:uiPriority w:val="0"/>
    <w:rPr>
      <w:rFonts w:asciiTheme="majorHAnsi" w:hAnsiTheme="majorHAnsi"/>
      <w:color w:val="104861"/>
      <w:sz w:val="32"/>
    </w:rPr>
  </w:style>
  <w:style w:type="character" w:customStyle="1" w:styleId="63">
    <w:name w:val="Заголовок 6 Знак"/>
    <w:basedOn w:val="26"/>
    <w:link w:val="7"/>
    <w:uiPriority w:val="0"/>
    <w:rPr>
      <w:i/>
      <w:color w:val="595959"/>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majorFont>
      <a:minorFont>
        <a:latin typeface="Aptos"/>
        <a:ea typeface=""/>
        <a:cs typeface=""/>
      </a:minorFont>
    </a:fontScheme>
    <a:fmtScheme name="Стандартная">
      <a:fillStyleLst>
        <a:solidFill>
          <a:schemeClr val="phClr"/>
        </a:solidFill>
        <a:gradFill>
          <a:gsLst>
            <a:gs pos="0">
              <a:schemeClr val="phClr">
                <a:satMod val="104999"/>
                <a:tint val="67000"/>
              </a:schemeClr>
            </a:gs>
            <a:gs pos="50000">
              <a:schemeClr val="phClr">
                <a:satMod val="103000"/>
                <a:tint val="73000"/>
              </a:schemeClr>
            </a:gs>
            <a:gs pos="100000">
              <a:schemeClr val="phClr">
                <a:satMod val="109000"/>
                <a:tint val="81000"/>
              </a:schemeClr>
            </a:gs>
          </a:gsLst>
        </a:gradFill>
        <a:gradFill>
          <a:gsLst>
            <a:gs pos="0">
              <a:schemeClr val="phClr">
                <a:satMod val="103000"/>
                <a:tint val="94000"/>
              </a:schemeClr>
            </a:gs>
            <a:gs pos="50000">
              <a:schemeClr val="phClr">
                <a:satMod val="110000"/>
                <a:shade val="100000"/>
              </a:schemeClr>
            </a:gs>
            <a:gs pos="100000">
              <a:schemeClr val="phClr">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satMod val="104999"/>
                <a:tint val="67000"/>
              </a:schemeClr>
            </a:gs>
            <a:gs pos="50000">
              <a:schemeClr val="phClr">
                <a:satMod val="103000"/>
                <a:tint val="73000"/>
              </a:schemeClr>
            </a:gs>
            <a:gs pos="100000">
              <a:schemeClr val="phClr">
                <a:satMod val="109000"/>
                <a:tint val="81000"/>
              </a:schemeClr>
            </a:gs>
          </a:gsLst>
        </a:gradFill>
        <a:gradFill>
          <a:gsLst>
            <a:gs pos="0">
              <a:schemeClr val="phClr">
                <a:satMod val="103000"/>
                <a:tint val="94000"/>
              </a:schemeClr>
            </a:gs>
            <a:gs pos="50000">
              <a:schemeClr val="phClr">
                <a:satMod val="110000"/>
                <a:shade val="100000"/>
              </a:schemeClr>
            </a:gs>
            <a:gs pos="100000">
              <a:schemeClr val="phClr">
                <a:satMod val="120000"/>
                <a:shade val="78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1608</Words>
  <Characters>9170</Characters>
  <Lines>76</Lines>
  <Paragraphs>21</Paragraphs>
  <TotalTime>31</TotalTime>
  <ScaleCrop>false</ScaleCrop>
  <LinksUpToDate>false</LinksUpToDate>
  <CharactersWithSpaces>10757</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2025-03-27T08:54:00Z</dcterms:created>
  <dc:creator>Компьютер</dc:creator>
  <cp:lastModifiedBy>79037</cp:lastModifiedBy>
  <dcterms:modified xsi:type="dcterms:W3CDTF">2025-03-27T16:39:49Z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BD955EDF3BD04E2CBC01B15D6FC27A2D_13</vt:lpwstr>
  </property>
</Properties>
</file>